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u w:val="single"/>
        </w:rPr>
      </w:pPr>
      <w:r>
        <w:rPr>
          <w:u w:val="single"/>
          <w:rtl w:val="0"/>
          <w:lang w:val="en-US"/>
        </w:rPr>
        <w:t>Custer County Library Foundation</w:t>
      </w:r>
    </w:p>
    <w:p>
      <w:pPr>
        <w:pStyle w:val="Body A"/>
        <w:rPr>
          <w:u w:val="single"/>
        </w:rPr>
      </w:pPr>
      <w:r>
        <w:rPr>
          <w:u w:val="single"/>
          <w:rtl w:val="0"/>
          <w:lang w:val="en-US"/>
        </w:rPr>
        <w:t>Meeting Minutes</w:t>
      </w:r>
    </w:p>
    <w:p>
      <w:pPr>
        <w:pStyle w:val="Body A"/>
        <w:rPr>
          <w:u w:val="single"/>
        </w:rPr>
      </w:pPr>
      <w:r>
        <w:rPr>
          <w:u w:val="single"/>
          <w:rtl w:val="0"/>
          <w:lang w:val="en-US"/>
        </w:rPr>
        <w:t>Thursday, March 20, 2025</w:t>
      </w:r>
    </w:p>
    <w:p>
      <w:pPr>
        <w:pStyle w:val="Body A"/>
        <w:rPr>
          <w:u w:val="none"/>
        </w:rPr>
      </w:pPr>
      <w:r>
        <w:rPr>
          <w:u w:val="single"/>
          <w:rtl w:val="0"/>
          <w:lang w:val="en-US"/>
        </w:rPr>
        <w:t>Custer Library Branch, Custer, SD</w:t>
      </w:r>
    </w:p>
    <w:p>
      <w:pPr>
        <w:pStyle w:val="Body A"/>
        <w:rPr>
          <w:u w:val="none"/>
        </w:rPr>
      </w:pPr>
    </w:p>
    <w:p>
      <w:pPr>
        <w:pStyle w:val="Body A"/>
        <w:rPr>
          <w:u w:val="none"/>
        </w:rPr>
      </w:pPr>
      <w:r>
        <w:rPr>
          <w:u w:val="none"/>
          <w:rtl w:val="0"/>
          <w:lang w:val="en-US"/>
        </w:rPr>
        <w:t xml:space="preserve">President Rose Mary Kor called the </w:t>
      </w:r>
      <w:r>
        <w:rPr>
          <w:u w:val="single"/>
          <w:rtl w:val="0"/>
          <w:lang w:val="en-US"/>
        </w:rPr>
        <w:t xml:space="preserve">Meeting to Order </w:t>
      </w:r>
      <w:r>
        <w:rPr>
          <w:u w:val="none"/>
          <w:rtl w:val="0"/>
          <w:lang w:val="en-US"/>
        </w:rPr>
        <w:t>at 1:01pm.</w:t>
      </w:r>
    </w:p>
    <w:p>
      <w:pPr>
        <w:pStyle w:val="Body A"/>
        <w:rPr>
          <w:u w:val="none"/>
        </w:rPr>
      </w:pPr>
    </w:p>
    <w:p>
      <w:pPr>
        <w:pStyle w:val="Body A"/>
        <w:rPr>
          <w:u w:val="none"/>
        </w:rPr>
      </w:pPr>
      <w:r>
        <w:rPr>
          <w:u w:val="single"/>
          <w:rtl w:val="0"/>
          <w:lang w:val="en-US"/>
        </w:rPr>
        <w:t>Present</w:t>
      </w:r>
      <w:r>
        <w:rPr>
          <w:u w:val="none"/>
          <w:rtl w:val="0"/>
          <w:lang w:val="en-US"/>
        </w:rPr>
        <w:t xml:space="preserve"> were Leo Van Sambeek via Zoom, Rose Mary Kor, Katherine Wakefield, Audrey Alfson, Sarah Myers, and Kim Canete.</w:t>
      </w:r>
    </w:p>
    <w:p>
      <w:pPr>
        <w:pStyle w:val="Body A"/>
        <w:rPr>
          <w:u w:val="none"/>
        </w:rPr>
      </w:pPr>
    </w:p>
    <w:p>
      <w:pPr>
        <w:pStyle w:val="Body A"/>
        <w:rPr>
          <w:u w:val="none"/>
        </w:rPr>
      </w:pPr>
      <w:r>
        <w:rPr>
          <w:u w:val="single"/>
          <w:rtl w:val="0"/>
          <w:lang w:val="en-US"/>
        </w:rPr>
        <w:t xml:space="preserve">Conflict of Interest </w:t>
      </w:r>
      <w:r>
        <w:rPr>
          <w:u w:val="none"/>
          <w:rtl w:val="0"/>
          <w:lang w:val="en-US"/>
        </w:rPr>
        <w:t>forms were signed.</w:t>
      </w:r>
    </w:p>
    <w:p>
      <w:pPr>
        <w:pStyle w:val="Body A"/>
        <w:rPr>
          <w:u w:val="none"/>
        </w:rPr>
      </w:pPr>
    </w:p>
    <w:p>
      <w:pPr>
        <w:pStyle w:val="Body A"/>
        <w:rPr>
          <w:u w:val="none"/>
        </w:rPr>
      </w:pPr>
      <w:r>
        <w:rPr>
          <w:u w:val="none"/>
          <w:rtl w:val="0"/>
          <w:lang w:val="en-US"/>
        </w:rPr>
        <w:t xml:space="preserve">One </w:t>
      </w:r>
      <w:r>
        <w:rPr>
          <w:u w:val="single"/>
          <w:rtl w:val="0"/>
          <w:lang w:val="en-US"/>
        </w:rPr>
        <w:t xml:space="preserve">addition to the agenda </w:t>
      </w:r>
      <w:r>
        <w:rPr>
          <w:u w:val="none"/>
          <w:rtl w:val="0"/>
          <w:lang w:val="en-US"/>
        </w:rPr>
        <w:t>was made. Katherine requested that a Guide Star update be shared.</w:t>
      </w:r>
    </w:p>
    <w:p>
      <w:pPr>
        <w:pStyle w:val="Body A"/>
        <w:rPr>
          <w:u w:val="none"/>
        </w:rPr>
      </w:pPr>
    </w:p>
    <w:p>
      <w:pPr>
        <w:pStyle w:val="Body A"/>
        <w:rPr>
          <w:u w:val="none"/>
        </w:rPr>
      </w:pPr>
      <w:r>
        <w:rPr>
          <w:u w:val="none"/>
          <w:rtl w:val="0"/>
          <w:lang w:val="en-US"/>
        </w:rPr>
        <w:t xml:space="preserve">The </w:t>
      </w:r>
      <w:r>
        <w:rPr>
          <w:u w:val="single"/>
          <w:rtl w:val="0"/>
          <w:lang w:val="en-US"/>
        </w:rPr>
        <w:t xml:space="preserve">January 23, 20025 minutes </w:t>
      </w:r>
      <w:r>
        <w:rPr>
          <w:u w:val="none"/>
          <w:rtl w:val="0"/>
          <w:lang w:val="en-US"/>
        </w:rPr>
        <w:t xml:space="preserve">were presented. </w:t>
      </w:r>
      <w:r>
        <w:rPr>
          <w:b w:val="1"/>
          <w:bCs w:val="1"/>
          <w:u w:val="none"/>
          <w:rtl w:val="0"/>
          <w:lang w:val="en-US"/>
        </w:rPr>
        <w:t>*</w:t>
      </w:r>
      <w:r>
        <w:rPr>
          <w:u w:val="none"/>
          <w:rtl w:val="0"/>
          <w:lang w:val="en-US"/>
        </w:rPr>
        <w:t>Katherine made a motion to accept the minutes as presented. Audrey seconded and the motion carried.</w:t>
      </w:r>
    </w:p>
    <w:p>
      <w:pPr>
        <w:pStyle w:val="Body A"/>
        <w:rPr>
          <w:u w:val="none"/>
        </w:rPr>
      </w:pPr>
    </w:p>
    <w:p>
      <w:pPr>
        <w:pStyle w:val="Body A"/>
        <w:rPr>
          <w:u w:val="none"/>
        </w:rPr>
      </w:pPr>
      <w:r>
        <w:rPr>
          <w:u w:val="none"/>
          <w:rtl w:val="0"/>
          <w:lang w:val="en-US"/>
        </w:rPr>
        <w:t xml:space="preserve">Katherine presented the </w:t>
      </w:r>
      <w:r>
        <w:rPr>
          <w:u w:val="single"/>
          <w:rtl w:val="0"/>
          <w:lang w:val="en-US"/>
        </w:rPr>
        <w:t>Treasurer</w:t>
      </w:r>
      <w:r>
        <w:rPr>
          <w:u w:val="single"/>
          <w:rtl w:val="0"/>
          <w:lang w:val="en-US"/>
        </w:rPr>
        <w:t>’</w:t>
      </w:r>
      <w:r>
        <w:rPr>
          <w:u w:val="single"/>
          <w:rtl w:val="0"/>
          <w:lang w:val="en-US"/>
        </w:rPr>
        <w:t>s Report.</w:t>
      </w:r>
      <w:r>
        <w:rPr>
          <w:u w:val="none"/>
          <w:rtl w:val="0"/>
          <w:lang w:val="en-US"/>
        </w:rPr>
        <w:t xml:space="preserve"> Katherine stated that the 990-N (E-Postcard) was filed in March.  She also explained that she ha</w:t>
      </w:r>
      <w:r>
        <w:rPr>
          <w:u w:val="none"/>
          <w:rtl w:val="0"/>
          <w:lang w:val="en-US"/>
        </w:rPr>
        <w:t xml:space="preserve">s a sub-account for the Hermosa Building Fund in her Edward Jones investment spreadsheet. This provides the details for the contributors, dates and amounts specified for the Hermosa Building. </w:t>
      </w:r>
    </w:p>
    <w:p>
      <w:pPr>
        <w:pStyle w:val="Body A"/>
        <w:rPr>
          <w:u w:val="none"/>
        </w:rPr>
      </w:pPr>
      <w:r>
        <w:rPr>
          <w:u w:val="none"/>
          <w:rtl w:val="0"/>
          <w:lang w:val="en-US"/>
        </w:rPr>
        <w:t>There was discussion whether the distribution from the Black Hills Community Area Fund and the South Dakota Community Fund were to be taken or reinvested.</w:t>
      </w:r>
    </w:p>
    <w:p>
      <w:pPr>
        <w:pStyle w:val="Body A"/>
        <w:rPr>
          <w:u w:val="none"/>
        </w:rPr>
      </w:pPr>
      <w:r>
        <w:rPr>
          <w:b w:val="1"/>
          <w:bCs w:val="1"/>
          <w:u w:val="none"/>
          <w:rtl w:val="0"/>
          <w:lang w:val="en-US"/>
        </w:rPr>
        <w:t>*</w:t>
      </w:r>
      <w:r>
        <w:rPr>
          <w:u w:val="none"/>
          <w:rtl w:val="0"/>
          <w:lang w:val="en-US"/>
        </w:rPr>
        <w:t>Audrey moved that both BHCAF fund</w:t>
      </w:r>
      <w:r>
        <w:rPr>
          <w:u w:val="none"/>
          <w:rtl w:val="0"/>
          <w:lang w:val="en-US"/>
        </w:rPr>
        <w:t>’</w:t>
      </w:r>
      <w:r>
        <w:rPr>
          <w:u w:val="none"/>
          <w:rtl w:val="0"/>
          <w:lang w:val="en-US"/>
        </w:rPr>
        <w:t>s yearly distributions be reinvested for February 2025. Leo seconded this motion. The motion carried.</w:t>
      </w:r>
    </w:p>
    <w:p>
      <w:pPr>
        <w:pStyle w:val="Body A"/>
        <w:rPr>
          <w:u w:val="none"/>
        </w:rPr>
      </w:pPr>
      <w:r>
        <w:rPr>
          <w:u w:val="none"/>
          <w:rtl w:val="0"/>
          <w:lang w:val="en-US"/>
        </w:rPr>
        <w:t xml:space="preserve">Discussion was held regarding the CD with the Hermosa Building Fund coming due in May. </w:t>
      </w:r>
      <w:r>
        <w:rPr>
          <w:b w:val="1"/>
          <w:bCs w:val="1"/>
          <w:u w:val="none"/>
          <w:rtl w:val="0"/>
          <w:lang w:val="en-US"/>
        </w:rPr>
        <w:t>*</w:t>
      </w:r>
      <w:r>
        <w:rPr>
          <w:u w:val="none"/>
          <w:rtl w:val="0"/>
          <w:lang w:val="en-US"/>
        </w:rPr>
        <w:t>Audrey made a motion that the CD be renewed at the highest rate for the best term. Kim seconded the motion. The motion carried.</w:t>
      </w:r>
    </w:p>
    <w:p>
      <w:pPr>
        <w:pStyle w:val="Body A"/>
        <w:rPr>
          <w:u w:val="none"/>
        </w:rPr>
      </w:pPr>
      <w:r>
        <w:rPr>
          <w:b w:val="1"/>
          <w:bCs w:val="1"/>
          <w:u w:val="none"/>
          <w:rtl w:val="0"/>
          <w:lang w:val="en-US"/>
        </w:rPr>
        <w:t>*</w:t>
      </w:r>
      <w:r>
        <w:rPr>
          <w:u w:val="none"/>
          <w:rtl w:val="0"/>
          <w:lang w:val="en-US"/>
        </w:rPr>
        <w:t>Audrey made a motion to approve the Treasurer</w:t>
      </w:r>
      <w:r>
        <w:rPr>
          <w:u w:val="none"/>
          <w:rtl w:val="0"/>
          <w:lang w:val="en-US"/>
        </w:rPr>
        <w:t>’</w:t>
      </w:r>
      <w:r>
        <w:rPr>
          <w:u w:val="none"/>
          <w:rtl w:val="0"/>
          <w:lang w:val="en-US"/>
        </w:rPr>
        <w:t>s Report. Kim seconded the motion. The motion carried.</w:t>
      </w:r>
    </w:p>
    <w:p>
      <w:pPr>
        <w:pStyle w:val="Body A"/>
        <w:rPr>
          <w:u w:val="none"/>
        </w:rPr>
      </w:pPr>
    </w:p>
    <w:p>
      <w:pPr>
        <w:pStyle w:val="Body A"/>
        <w:rPr>
          <w:u w:val="none"/>
        </w:rPr>
      </w:pPr>
      <w:r>
        <w:rPr>
          <w:u w:val="none"/>
          <w:rtl w:val="0"/>
          <w:lang w:val="en-US"/>
        </w:rPr>
        <w:t xml:space="preserve">One action was decided. </w:t>
      </w:r>
    </w:p>
    <w:p>
      <w:pPr>
        <w:pStyle w:val="Body A"/>
        <w:numPr>
          <w:ilvl w:val="0"/>
          <w:numId w:val="2"/>
        </w:numPr>
        <w:bidi w:val="0"/>
        <w:ind w:right="0"/>
        <w:jc w:val="left"/>
        <w:rPr>
          <w:rtl w:val="0"/>
          <w:lang w:val="en-US"/>
        </w:rPr>
      </w:pPr>
      <w:r>
        <w:rPr>
          <w:u w:val="none"/>
          <w:rtl w:val="0"/>
          <w:lang w:val="en-US"/>
        </w:rPr>
        <w:t>A January To Do List will be established for continuity of the CCLF</w:t>
      </w:r>
      <w:r>
        <w:rPr>
          <w:u w:val="none"/>
          <w:rtl w:val="0"/>
          <w:lang w:val="en-US"/>
        </w:rPr>
        <w:t>’</w:t>
      </w:r>
      <w:r>
        <w:rPr>
          <w:u w:val="none"/>
          <w:rtl w:val="0"/>
          <w:lang w:val="en-US"/>
        </w:rPr>
        <w:t>s procedures.</w:t>
      </w:r>
    </w:p>
    <w:p>
      <w:pPr>
        <w:pStyle w:val="Body A"/>
        <w:rPr>
          <w:u w:val="none"/>
        </w:rPr>
      </w:pPr>
      <w:r>
        <w:rPr>
          <w:u w:val="none"/>
          <w:rtl w:val="0"/>
        </w:rPr>
        <w:tab/>
        <w:t>a) Signing of Conflict of Interest forms.</w:t>
      </w:r>
    </w:p>
    <w:p>
      <w:pPr>
        <w:pStyle w:val="Body A"/>
        <w:rPr>
          <w:u w:val="none"/>
        </w:rPr>
      </w:pPr>
      <w:r>
        <w:rPr>
          <w:u w:val="none"/>
          <w:rtl w:val="0"/>
        </w:rPr>
        <w:tab/>
        <w:t>b) BHACF distribution options addressed.</w:t>
      </w:r>
    </w:p>
    <w:p>
      <w:pPr>
        <w:pStyle w:val="Body A"/>
        <w:rPr>
          <w:u w:val="none"/>
        </w:rPr>
      </w:pPr>
      <w:r>
        <w:rPr>
          <w:u w:val="none"/>
          <w:rtl w:val="0"/>
        </w:rPr>
        <w:tab/>
        <w:t>c) SDCF distribution options addressed.</w:t>
      </w:r>
    </w:p>
    <w:p>
      <w:pPr>
        <w:pStyle w:val="Body A"/>
        <w:rPr>
          <w:u w:val="none"/>
        </w:rPr>
      </w:pPr>
      <w:r>
        <w:rPr>
          <w:u w:val="none"/>
          <w:rtl w:val="0"/>
        </w:rPr>
        <w:tab/>
        <w:t>d) A five year plan is to be set each January.</w:t>
      </w:r>
    </w:p>
    <w:p>
      <w:pPr>
        <w:pStyle w:val="Body A"/>
        <w:rPr>
          <w:u w:val="none"/>
        </w:rPr>
      </w:pPr>
      <w:r>
        <w:rPr>
          <w:u w:val="none"/>
          <w:rtl w:val="0"/>
          <w:lang w:val="en-US"/>
        </w:rPr>
        <w:t>Rose will provide a full list of January To Do</w:t>
      </w:r>
      <w:r>
        <w:rPr>
          <w:u w:val="none"/>
          <w:rtl w:val="0"/>
          <w:lang w:val="en-US"/>
        </w:rPr>
        <w:t>’</w:t>
      </w:r>
      <w:r>
        <w:rPr>
          <w:u w:val="none"/>
          <w:rtl w:val="0"/>
          <w:lang w:val="en-US"/>
        </w:rPr>
        <w:t>s.</w:t>
      </w:r>
    </w:p>
    <w:p>
      <w:pPr>
        <w:pStyle w:val="Body A"/>
        <w:rPr>
          <w:u w:val="none"/>
        </w:rPr>
      </w:pPr>
    </w:p>
    <w:p>
      <w:pPr>
        <w:pStyle w:val="Body A"/>
        <w:rPr>
          <w:u w:val="none"/>
        </w:rPr>
      </w:pPr>
      <w:r>
        <w:rPr>
          <w:u w:val="none"/>
          <w:rtl w:val="0"/>
          <w:lang w:val="en-US"/>
        </w:rPr>
        <w:t>Sarah presented the</w:t>
      </w:r>
      <w:r>
        <w:rPr>
          <w:u w:val="single"/>
          <w:rtl w:val="0"/>
          <w:lang w:val="en-US"/>
        </w:rPr>
        <w:t xml:space="preserve"> Library Director</w:t>
      </w:r>
      <w:r>
        <w:rPr>
          <w:u w:val="single"/>
          <w:rtl w:val="0"/>
          <w:lang w:val="en-US"/>
        </w:rPr>
        <w:t>’</w:t>
      </w:r>
      <w:r>
        <w:rPr>
          <w:u w:val="single"/>
          <w:rtl w:val="0"/>
          <w:lang w:val="en-US"/>
        </w:rPr>
        <w:t>s Report.</w:t>
      </w:r>
      <w:r>
        <w:rPr>
          <w:u w:val="none"/>
          <w:rtl w:val="0"/>
          <w:lang w:val="en-US"/>
        </w:rPr>
        <w:t xml:space="preserve"> These included:</w:t>
      </w:r>
    </w:p>
    <w:p>
      <w:pPr>
        <w:pStyle w:val="Body A"/>
        <w:numPr>
          <w:ilvl w:val="0"/>
          <w:numId w:val="3"/>
        </w:numPr>
        <w:bidi w:val="0"/>
        <w:ind w:right="0"/>
        <w:jc w:val="left"/>
        <w:rPr>
          <w:rtl w:val="0"/>
          <w:lang w:val="en-US"/>
        </w:rPr>
      </w:pPr>
      <w:r>
        <w:rPr>
          <w:u w:val="none"/>
          <w:rtl w:val="0"/>
          <w:lang w:val="en-US"/>
        </w:rPr>
        <w:t>January, February, and March updates.</w:t>
      </w:r>
    </w:p>
    <w:p>
      <w:pPr>
        <w:pStyle w:val="Body A"/>
        <w:numPr>
          <w:ilvl w:val="0"/>
          <w:numId w:val="2"/>
        </w:numPr>
        <w:bidi w:val="0"/>
        <w:ind w:right="0"/>
        <w:jc w:val="left"/>
        <w:rPr>
          <w:rtl w:val="0"/>
          <w:lang w:val="en-US"/>
        </w:rPr>
      </w:pPr>
      <w:r>
        <w:rPr>
          <w:u w:val="none"/>
          <w:rtl w:val="0"/>
          <w:lang w:val="en-US"/>
        </w:rPr>
        <w:t>Legislative Updates</w:t>
      </w:r>
    </w:p>
    <w:p>
      <w:pPr>
        <w:pStyle w:val="Body A"/>
        <w:numPr>
          <w:ilvl w:val="0"/>
          <w:numId w:val="2"/>
        </w:numPr>
        <w:bidi w:val="0"/>
        <w:ind w:right="0"/>
        <w:jc w:val="left"/>
        <w:rPr>
          <w:rtl w:val="0"/>
          <w:lang w:val="en-US"/>
        </w:rPr>
      </w:pPr>
      <w:r>
        <w:rPr>
          <w:u w:val="none"/>
          <w:rtl w:val="0"/>
          <w:lang w:val="en-US"/>
        </w:rPr>
        <w:t>Programming Updates</w:t>
      </w:r>
    </w:p>
    <w:p>
      <w:pPr>
        <w:pStyle w:val="Body A"/>
        <w:numPr>
          <w:ilvl w:val="0"/>
          <w:numId w:val="2"/>
        </w:numPr>
        <w:bidi w:val="0"/>
        <w:ind w:right="0"/>
        <w:jc w:val="left"/>
        <w:rPr>
          <w:rtl w:val="0"/>
          <w:lang w:val="en-US"/>
        </w:rPr>
      </w:pPr>
      <w:r>
        <w:rPr>
          <w:u w:val="none"/>
          <w:rtl w:val="0"/>
          <w:lang w:val="en-US"/>
        </w:rPr>
        <w:t>Annual Report</w:t>
      </w:r>
    </w:p>
    <w:p>
      <w:pPr>
        <w:pStyle w:val="Body A"/>
        <w:rPr>
          <w:u w:val="none"/>
        </w:rPr>
      </w:pPr>
    </w:p>
    <w:p>
      <w:pPr>
        <w:pStyle w:val="Body A"/>
        <w:rPr>
          <w:u w:val="none"/>
        </w:rPr>
      </w:pPr>
      <w:r>
        <w:rPr>
          <w:u w:val="none"/>
          <w:rtl w:val="0"/>
          <w:lang w:val="en-US"/>
        </w:rPr>
        <w:t xml:space="preserve">Sarah will email the </w:t>
      </w:r>
      <w:r>
        <w:rPr>
          <w:u w:val="single"/>
          <w:rtl w:val="0"/>
          <w:lang w:val="en-US"/>
        </w:rPr>
        <w:t xml:space="preserve">CCL Strategic Action Plan </w:t>
      </w:r>
      <w:r>
        <w:rPr>
          <w:u w:val="none"/>
          <w:rtl w:val="0"/>
          <w:lang w:val="en-US"/>
        </w:rPr>
        <w:t>to each CCLF member.</w:t>
      </w:r>
    </w:p>
    <w:p>
      <w:pPr>
        <w:pStyle w:val="Body A"/>
        <w:rPr>
          <w:u w:val="none"/>
        </w:rPr>
      </w:pPr>
    </w:p>
    <w:p>
      <w:pPr>
        <w:pStyle w:val="Body A"/>
        <w:rPr>
          <w:u w:val="single"/>
        </w:rPr>
      </w:pPr>
      <w:r>
        <w:rPr>
          <w:u w:val="single"/>
          <w:rtl w:val="0"/>
          <w:lang w:val="en-US"/>
        </w:rPr>
        <w:t>Old Business</w:t>
      </w:r>
    </w:p>
    <w:p>
      <w:pPr>
        <w:pStyle w:val="Body A"/>
      </w:pPr>
      <w:r>
        <w:rPr>
          <w:rtl w:val="0"/>
          <w:lang w:val="en-US"/>
        </w:rPr>
        <w:t>Leo shared the updated design for the Hermosa Building. At this time the square footage is 6,400 sqft. Commissioner Hartman requested the design of the building to be put out for a cost estimate</w:t>
      </w:r>
      <w:r>
        <w:rPr>
          <w:rtl w:val="0"/>
          <w:lang w:val="en-US"/>
        </w:rPr>
        <w:t>—</w:t>
      </w:r>
      <w:r>
        <w:rPr>
          <w:rtl w:val="0"/>
          <w:lang w:val="en-US"/>
        </w:rPr>
        <w:t>-not a formal bid.</w:t>
      </w:r>
    </w:p>
    <w:p>
      <w:pPr>
        <w:pStyle w:val="Body A"/>
      </w:pPr>
    </w:p>
    <w:p>
      <w:pPr>
        <w:pStyle w:val="Body A"/>
        <w:rPr>
          <w:u w:val="single"/>
        </w:rPr>
      </w:pPr>
      <w:r>
        <w:rPr>
          <w:u w:val="single"/>
          <w:rtl w:val="0"/>
          <w:lang w:val="en-US"/>
        </w:rPr>
        <w:t>New Business</w:t>
      </w:r>
    </w:p>
    <w:p>
      <w:pPr>
        <w:pStyle w:val="Body A"/>
        <w:rPr>
          <w:u w:val="none"/>
        </w:rPr>
      </w:pPr>
    </w:p>
    <w:p>
      <w:pPr>
        <w:pStyle w:val="Body A"/>
        <w:rPr>
          <w:u w:val="none"/>
        </w:rPr>
      </w:pPr>
      <w:r>
        <w:rPr>
          <w:u w:val="none"/>
          <w:rtl w:val="0"/>
          <w:lang w:val="en-US"/>
        </w:rPr>
        <w:t>1) It was decided that Rose Mary would write a letter to our DC Legislators regarding all the proposed federal funding cuts.</w:t>
      </w:r>
    </w:p>
    <w:p>
      <w:pPr>
        <w:pStyle w:val="Body A"/>
        <w:rPr>
          <w:u w:val="none"/>
        </w:rPr>
      </w:pPr>
    </w:p>
    <w:p>
      <w:pPr>
        <w:pStyle w:val="Body A"/>
        <w:rPr>
          <w:u w:val="none"/>
        </w:rPr>
      </w:pPr>
      <w:r>
        <w:rPr>
          <w:u w:val="none"/>
          <w:rtl w:val="0"/>
          <w:lang w:val="en-US"/>
        </w:rPr>
        <w:t xml:space="preserve">2) Sarah proposed that a </w:t>
      </w:r>
      <w:r>
        <w:rPr>
          <w:u w:val="none"/>
          <w:rtl w:val="0"/>
          <w:lang w:val="en-US"/>
        </w:rPr>
        <w:t>“</w:t>
      </w:r>
      <w:r>
        <w:rPr>
          <w:u w:val="none"/>
          <w:rtl w:val="0"/>
          <w:lang w:val="en-US"/>
        </w:rPr>
        <w:t>Friends of the Library</w:t>
      </w:r>
      <w:r>
        <w:rPr>
          <w:u w:val="none"/>
          <w:rtl w:val="0"/>
          <w:lang w:val="en-US"/>
        </w:rPr>
        <w:t xml:space="preserve">” </w:t>
      </w:r>
      <w:r>
        <w:rPr>
          <w:u w:val="none"/>
          <w:rtl w:val="0"/>
          <w:lang w:val="en-US"/>
        </w:rPr>
        <w:t>team/committee would be formed as a subcommittee of the CCLF. This team would encourage volunteerism, advocacy, and outreach. This proposal was well-received. There will be a strategizing work meeting for this committee April 10 at 1pm.</w:t>
      </w:r>
    </w:p>
    <w:p>
      <w:pPr>
        <w:pStyle w:val="Body A"/>
        <w:rPr>
          <w:u w:val="none"/>
        </w:rPr>
      </w:pPr>
    </w:p>
    <w:p>
      <w:pPr>
        <w:pStyle w:val="Body A"/>
        <w:rPr>
          <w:u w:val="none"/>
        </w:rPr>
      </w:pPr>
      <w:r>
        <w:rPr>
          <w:u w:val="none"/>
          <w:rtl w:val="0"/>
          <w:lang w:val="en-US"/>
        </w:rPr>
        <w:t>3) Katherine explained the steps she took to set the CCLF as a member of Guide Star. This included providing a copy of the CCLF 2012 IRS letter confirming our 501(C)3 status.The Board reviewed the content and determined that the information now on Guide Star is sufficient. There are options for much more details should we determine that it is useful in the future.</w:t>
      </w:r>
    </w:p>
    <w:p>
      <w:pPr>
        <w:pStyle w:val="Body A"/>
        <w:rPr>
          <w:u w:val="none"/>
        </w:rPr>
      </w:pPr>
      <w:r>
        <w:rPr>
          <w:u w:val="none"/>
          <w:rtl w:val="0"/>
          <w:lang w:val="en-US"/>
        </w:rPr>
        <w:t xml:space="preserve">4) Discussion was made concerning centralizing documents and communications. </w:t>
      </w:r>
      <w:r>
        <w:rPr>
          <w:b w:val="1"/>
          <w:bCs w:val="1"/>
          <w:u w:val="none"/>
          <w:rtl w:val="0"/>
          <w:lang w:val="en-US"/>
        </w:rPr>
        <w:t>*</w:t>
      </w:r>
      <w:r>
        <w:rPr>
          <w:u w:val="none"/>
          <w:rtl w:val="0"/>
          <w:lang w:val="en-US"/>
        </w:rPr>
        <w:t>Katherine made a motion for Audrey to set up an email address for the CCLF. Kim seconded the motion. The motion was carried.</w:t>
      </w:r>
    </w:p>
    <w:p>
      <w:pPr>
        <w:pStyle w:val="Body A"/>
        <w:rPr>
          <w:u w:val="none"/>
        </w:rPr>
      </w:pPr>
    </w:p>
    <w:p>
      <w:pPr>
        <w:pStyle w:val="Body A"/>
        <w:rPr>
          <w:u w:val="none"/>
        </w:rPr>
      </w:pPr>
      <w:r>
        <w:rPr>
          <w:u w:val="single"/>
          <w:rtl w:val="0"/>
          <w:lang w:val="en-US"/>
        </w:rPr>
        <w:t>Next Business Meeting</w:t>
      </w:r>
      <w:r>
        <w:rPr>
          <w:u w:val="none"/>
          <w:rtl w:val="0"/>
          <w:lang w:val="en-US"/>
        </w:rPr>
        <w:t xml:space="preserve"> will be May 15 at 1:00pm at Hermosa.</w:t>
      </w:r>
    </w:p>
    <w:p>
      <w:pPr>
        <w:pStyle w:val="Body A"/>
        <w:rPr>
          <w:u w:val="none"/>
        </w:rPr>
      </w:pPr>
    </w:p>
    <w:p>
      <w:pPr>
        <w:pStyle w:val="Body A"/>
        <w:rPr>
          <w:u w:val="none"/>
        </w:rPr>
      </w:pPr>
      <w:r>
        <w:rPr>
          <w:u w:val="single"/>
          <w:rtl w:val="0"/>
          <w:lang w:val="en-US"/>
        </w:rPr>
        <w:t>Meeting Adjourned</w:t>
      </w:r>
      <w:r>
        <w:rPr>
          <w:u w:val="none"/>
          <w:rtl w:val="0"/>
          <w:lang w:val="en-US"/>
        </w:rPr>
        <w:t xml:space="preserve"> 2:55pm.</w:t>
      </w:r>
    </w:p>
    <w:p>
      <w:pPr>
        <w:pStyle w:val="Body A"/>
        <w:rPr>
          <w:u w:val="none"/>
        </w:rPr>
      </w:pPr>
    </w:p>
    <w:p>
      <w:pPr>
        <w:pStyle w:val="Body A"/>
        <w:rPr>
          <w:u w:val="none"/>
        </w:rPr>
      </w:pPr>
      <w:r>
        <w:rPr>
          <w:u w:val="none"/>
          <w:rtl w:val="0"/>
          <w:lang w:val="en-US"/>
        </w:rPr>
        <w:t>Meeting Minutes submitted by Kim Canete</w:t>
      </w:r>
    </w:p>
    <w:p>
      <w:pPr>
        <w:pStyle w:val="Body A"/>
        <w:rPr>
          <w:u w:val="none"/>
        </w:rPr>
      </w:pPr>
    </w:p>
    <w:p>
      <w:pPr>
        <w:pStyle w:val="Body A"/>
        <w:rPr>
          <w:i w:val="1"/>
          <w:iCs w:val="1"/>
          <w:u w:val="none"/>
        </w:rPr>
      </w:pPr>
      <w:r>
        <w:rPr>
          <w:i w:val="1"/>
          <w:iCs w:val="1"/>
          <w:u w:val="none"/>
          <w:rtl w:val="0"/>
          <w:lang w:val="en-US"/>
        </w:rPr>
        <w:t>Attached are:</w:t>
      </w:r>
    </w:p>
    <w:p>
      <w:pPr>
        <w:pStyle w:val="Body A"/>
        <w:rPr>
          <w:i w:val="1"/>
          <w:iCs w:val="1"/>
          <w:u w:val="none"/>
        </w:rPr>
      </w:pPr>
      <w:r>
        <w:rPr>
          <w:i w:val="1"/>
          <w:iCs w:val="1"/>
          <w:u w:val="none"/>
          <w:rtl w:val="0"/>
          <w:lang w:val="en-US"/>
        </w:rPr>
        <w:t xml:space="preserve"> Two emails sent by Sarah Myers regarding Legislative updates</w:t>
      </w:r>
    </w:p>
    <w:p>
      <w:pPr>
        <w:pStyle w:val="Body A"/>
        <w:rPr>
          <w:i w:val="1"/>
          <w:iCs w:val="1"/>
          <w:u w:val="none"/>
        </w:rPr>
      </w:pPr>
      <w:r>
        <w:rPr>
          <w:i w:val="1"/>
          <w:iCs w:val="1"/>
          <w:u w:val="none"/>
          <w:rtl w:val="0"/>
          <w:lang w:val="en-US"/>
        </w:rPr>
        <w:t xml:space="preserve"> January, February, March Library Director Reports</w:t>
      </w:r>
    </w:p>
    <w:p>
      <w:pPr>
        <w:pStyle w:val="Body A"/>
        <w:rPr>
          <w:i w:val="1"/>
          <w:iCs w:val="1"/>
          <w:u w:val="none"/>
        </w:rPr>
      </w:pPr>
      <w:r>
        <w:rPr>
          <w:i w:val="1"/>
          <w:iCs w:val="1"/>
          <w:u w:val="none"/>
          <w:rtl w:val="0"/>
          <w:lang w:val="en-US"/>
        </w:rPr>
        <w:t xml:space="preserve"> Rose Mary letter to Rounds, Thune, Johnson</w:t>
      </w:r>
    </w:p>
    <w:p>
      <w:pPr>
        <w:pStyle w:val="Body A"/>
        <w:rPr>
          <w:i w:val="1"/>
          <w:iCs w:val="1"/>
          <w:u w:val="none"/>
        </w:rPr>
      </w:pPr>
      <w:r>
        <w:rPr>
          <w:i w:val="1"/>
          <w:iCs w:val="1"/>
          <w:u w:val="none"/>
          <w:rtl w:val="0"/>
          <w:lang w:val="en-US"/>
        </w:rPr>
        <w:t xml:space="preserve"> Updated Hermosa Building Plans-floor Plan, Warnke Brothers Construction estimation</w:t>
      </w:r>
    </w:p>
    <w:p>
      <w:pPr>
        <w:pStyle w:val="Body A"/>
        <w:rPr>
          <w:i w:val="1"/>
          <w:iCs w:val="1"/>
          <w:u w:val="none"/>
        </w:rPr>
      </w:pPr>
      <w:r>
        <w:rPr>
          <w:i w:val="1"/>
          <w:iCs w:val="1"/>
          <w:u w:val="none"/>
          <w:rtl w:val="0"/>
          <w:lang w:val="en-US"/>
        </w:rPr>
        <w:t>CCL 2024 Annual Report</w:t>
      </w:r>
    </w:p>
    <w:p>
      <w:pPr>
        <w:pStyle w:val="Body A"/>
        <w:rPr>
          <w:i w:val="1"/>
          <w:iCs w:val="1"/>
          <w:u w:val="none"/>
        </w:rPr>
      </w:pPr>
      <w:r>
        <w:rPr>
          <w:i w:val="1"/>
          <w:iCs w:val="1"/>
          <w:u w:val="none"/>
          <w:rtl w:val="0"/>
          <w:lang w:val="en-US"/>
        </w:rPr>
        <w:t>990N Form for Tax Exemption</w:t>
      </w:r>
    </w:p>
    <w:p>
      <w:pPr>
        <w:pStyle w:val="Body A"/>
        <w:rPr>
          <w:i w:val="1"/>
          <w:iCs w:val="1"/>
          <w:u w:val="none"/>
        </w:rPr>
      </w:pPr>
      <w:r>
        <w:rPr>
          <w:i w:val="1"/>
          <w:iCs w:val="1"/>
          <w:u w:val="none"/>
          <w:rtl w:val="0"/>
          <w:lang w:val="en-US"/>
        </w:rPr>
        <w:t>Treasurer</w:t>
      </w:r>
      <w:r>
        <w:rPr>
          <w:i w:val="1"/>
          <w:iCs w:val="1"/>
          <w:u w:val="none"/>
          <w:rtl w:val="0"/>
          <w:lang w:val="en-US"/>
        </w:rPr>
        <w:t>’</w:t>
      </w:r>
      <w:r>
        <w:rPr>
          <w:i w:val="1"/>
          <w:iCs w:val="1"/>
          <w:u w:val="none"/>
          <w:rtl w:val="0"/>
          <w:lang w:val="en-US"/>
        </w:rPr>
        <w:t>s Report</w:t>
      </w:r>
    </w:p>
    <w:p>
      <w:pPr>
        <w:pStyle w:val="Body A"/>
        <w:rPr>
          <w:i w:val="1"/>
          <w:iCs w:val="1"/>
          <w:u w:val="none"/>
        </w:rPr>
      </w:pPr>
      <w:r>
        <w:rPr>
          <w:i w:val="1"/>
          <w:iCs w:val="1"/>
          <w:u w:val="none"/>
          <w:rtl w:val="0"/>
          <w:lang w:val="en-US"/>
        </w:rPr>
        <w:t>CCL Strategic Action Plan</w:t>
      </w:r>
    </w:p>
    <w:p>
      <w:pPr>
        <w:pStyle w:val="Body A"/>
        <w:rPr>
          <w:i w:val="1"/>
          <w:iCs w:val="1"/>
          <w:u w:val="none"/>
        </w:rPr>
      </w:pPr>
    </w:p>
    <w:p>
      <w:pPr>
        <w:pStyle w:val="Body A"/>
        <w:rPr>
          <w:u w:val="none"/>
        </w:rPr>
      </w:pPr>
    </w:p>
    <w:p>
      <w:pPr>
        <w:pStyle w:val="Body A"/>
      </w:pPr>
      <w:r>
        <w:rPr>
          <w:u w:val="no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